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475</w:t>
      </w:r>
    </w:p>
    <w:p>
      <w:r>
        <w:t>Bundesgericht (BGE), 2024-11-26, DE</w:t>
      </w:r>
    </w:p>
    <w:p>
      <w:r>
        <w:rPr>
          <w:b/>
        </w:rPr>
        <w:t xml:space="preserve">Quelle: </w:t>
      </w:r>
      <w:r>
        <w:t>https://mcp.opencaselaw.ch/entscheid/bge_151 II 475</w:t>
      </w:r>
    </w:p>
    <w:p>
      <w:r>
        <w:t>FR: ATF 151 II 475</w:t>
      </w:r>
    </w:p>
    <w:p>
      <w:r>
        <w:t>IT: DTF 151 II 475</w:t>
      </w:r>
    </w:p>
    <w:p>
      <w:pPr>
        <w:pStyle w:val="Heading2"/>
      </w:pPr>
      <w:r>
        <w:t>Regeste</w:t>
      </w:r>
    </w:p>
    <w:p>
      <w:r>
        <w:t>Regeste Art. 1 und 8 Abs. 1, Art. 10 und 11 Abs. 2, Art. 17 und 32 LVA; Art. 4 Abs. 1, Art. 5 Abs. 1 und 3 lit. a sowie Art. 49a Abs. 1 KG; Art. 29 Abs. 1 BV; Art. 6 Ziff. 1 EMRK; Preisabreden im Bereich Luftfracht; anwendbares Recht und Kompetenzen der schweizerischen Behörden nach dem Luftverkehrsabkommen; Verletzung des Beschleunigungsgebots. Nach Massgabe des Luftverkehrsabkommens gilt in der Schweiz grundsätzlich europäisches Kartellrecht (E. 4). Soweit das innerstaatliche Recht der Durchsetzung des Luftverkehrsabkommens dient, belässt das Abkommen Raum für die Anwendung von schweizerischem Kartellrecht - namentlich von Art. 49a Abs. 1 KG (E. 5). Die bundesverwaltungsgerichtliche Verfahrensdauer von über acht Jahren ist mit dem Beschleunigungsgebot vorliegend nicht vereinbar (E. 12).</w:t>
      </w:r>
    </w:p>
    <w:p>
      <w:pPr>
        <w:pStyle w:val="Heading2"/>
      </w:pPr>
      <w:r>
        <w:t>Erwägungen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des Vertrags vom 25. März 1957 zur Gründung der Europäischen Gemeinschaft, Fassung Amsterdam, ABl. C 340 vom 10. November 1997 S. 173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des Abkommens vom 21. Juni 1999 zwischen der Schweizerischen Eidgenossenschaft und der Europäischen Geminschaft über den Luftverkehr [SR 0.748.127.192.68; nachfolgend: Luftverkehrsabkommen,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BGE 151 II 475 S. 479 europarechtlichen Bestimmungen nach dem Willen der Vertragsparteien grundsätzlich auch in der Schweiz direkt angewendet werden sollen (vgl. BGE 144 II 376 E. 9.4.1; BGE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BBl 1999 6128 ff., 6150).</w:t>
      </w:r>
    </w:p>
    <w:p>
      <w:r>
        <w:rPr>
          <w:b/>
        </w:rPr>
        <w:t>E. 4.2</w:t>
      </w:r>
    </w:p>
    <w:p>
      <w:r>
        <w:t>Beim Luftverkehrsabkommen handelt es sich mithin um einen "partiellen Integrationsvertrag" (BBl 1999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BBl 1999 6158; vgl. auch KRAUS/JAAG/UMBRICHT, L'Union européenne, Ses institutions et ses relations avec la Suisse, 2009, S. 154; GLASER, Umsetzung und Durchführung des Rechts der Bilateralen Verträge in der Schweiz, in: Die Verfassungsdynamik der europäischen Integration und demokratische Partizipation, Glaser/Langer [Hrsg.],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I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(BBl 1999 6158; vgl. COTTIER UND ANDERE,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BGE 151 II 475 S. 480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BGE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BGE 140 II 185 E. 4.2). Das staatsvertraglich übernommene EU-Verordnungsrecht entspricht national einer Regelung auf formeller Gesetzesstufe (vgl. BGE 138 II 42 E. 3.1).</w:t>
      </w:r>
    </w:p>
    <w:p>
      <w:r>
        <w:rPr>
          <w:b/>
        </w:rPr>
        <w:t>E. 4.4</w:t>
      </w:r>
    </w:p>
    <w:p>
      <w:r>
        <w:t>Für die vorliegende Angelegenheit bedeutet dies, wie bereits die Vorinstanz zutreffend und unbestrittenermassen anführt, dass nach Massgabe des Luftverkehrsabkommens in der Schweiz im Grundsatz das europäische Kartellrecht gilt (vgl. E. 3.1 i.f. des angefochtenen Urteils B-747/2014 vom 16. November 2022).</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(Bst. a), die Einschränkung oder Kontrolle der Erzeugung, des Absatzes, der technischen Entwicklung oder der Investitionen (Bst. b), die Aufteilung der Märkte oder Versorgungsquellen (Bst. c), die Anwendung unterschiedlicher Bedingungen bei gleichwertigen Leistungen gegenüber Handelspartnern, wodurch diese im Wettbewerb benachteiligt werden (Bst. d) oder die an den Abschluss von Verträgen geknüpfte Bedingung, dass die Vertragspartner zusätzliche Leistungen annehmen, die weder sachlich noch nach Handelsbrauch in Beziehung zum Vertragsgegenstand stehen (Bst. e). Art. 9 Abs. 1 LVA erklärt BGE 151 II 475 S. 481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Europäisches Wettbewerbsrecht, Schröter/Klotz/von Wendland [Hrsg.], 3. Aufl. 2024, S. 1600; ZURKINDEN/ BAUDENBACHER, in: Europäisches Wettbewerbsrecht, Schröter/Klotz/von Wendland [Hrsg.], 3. Aufl. 2024, S. 3093 f.; DETTLING-OTT, Das bilaterale Luftverkehrsabkommen der Schweiz und der EG, in: Bilaterale Verträge I &amp; II Schweiz-EU [nachfolgend: Bilaterale Verträge], Thürer/Weber/Portmann/Kellerhals [Hrsg.],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BGE 151 II 475 S. 482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Unter den Verfahrensbeteiligten ist zwar unbestritten, dass auf die vorliegende kartellrechtliche Untersuchung das europäische Kartellrecht (nach Massgabe von Art. 8 LVA) anwendbar ist. Umstritten ist jedoch, ob ein mit Art. 8 LVA allenfalls unvereinbares und damit kartellrechtswidriges Verhalten sanktioniert werden kann. Die Beschwerdeführerinnen rügen namentlich eine Verletzung von Art. 164 Abs. 1 lit. c BV und Art. 7 Ziff. 1 EMRK , da die Vorinstanz ohne Sanktionskompetenz Art. 49a Abs. 1 KG (SR 251) zur Anwendung gebracht habe.</w:t>
      </w:r>
    </w:p>
    <w:p>
      <w:r>
        <w:rPr>
          <w:b/>
        </w:rPr>
        <w:t>E. 5.1</w:t>
      </w:r>
    </w:p>
    <w:p>
      <w:r>
        <w:t>Vorab ist auf die Ausgangslage einzugehen, damit die einzelnen Standpunkte der Verfahrensbeteiligten sowie die Frage, ob allfällige Wettbewerbsverstösse gemäss Art. 8 Abs. 1 LVA im relevanten Zeitraum zwischen 1. April 2004 bis (spätestens) Februar 2006 sanktionierbar sind, verständlich gewürdigt werden können. Es ist zu Recht unbestritten, dass sich im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Gemischten Luftverkehrsausschusses Gemeinschaft/Schweiz vom 5. Dezember 2007 wurde eine Sanktionskompetenz in den Anhang BGE 151 II 475 S. 483 des Abkommens aufgenommen (vgl. Verordnung [EG] Nr. 1/2003 des Rates vom 16. Dezember 2002 zur Durchführung der in den Artikeln 81 und 82 des Vertrags niedergelegten Wettbewerbsregeln, ABl. L 1 vom 4. Januar 2003 S. 1).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1387 f. und 1390).</w:t>
      </w:r>
    </w:p>
    <w:p>
      <w:r>
        <w:rPr>
          <w:b/>
        </w:rPr>
        <w:t>E. 5.2</w:t>
      </w:r>
    </w:p>
    <w:p>
      <w:r>
        <w:t>Die Beschwerdeführerinnen bringen vor, es sei unbestritten, dass das Luftverkehrsabkommen in den zum Untersuchungszeitraum gültigen Fassungen keine gesetzliche Grundlage für die Sanktionierung der Untersuchungsadressaten enthalten habe, da weder die Europäische Gemeinschaft noch die Schweiz im Zeitpunkt des Abschlusses des Luftverkehrsabkommens eine Sanktionsbestimmung gekannt hätten. Sie stellen sich auf den Standpunkt, dass entgegen der Auffassung der Vorinstanz im Anwendungsbereich des bilateralen Luftverkehrsabkommens kein Raum für die parallele Anwendung des Schweizer Kartellgesetzes bestehe. Die Schweiz habe sich beim Abschluss des Luftverkehrsabkommens zur Übernahme des damaligen europäischen Kartellrechts und zu dessen ausschliesslichen Anwendbarkeit verpflichtet. Das Schweizer Kartellrecht finde laut Art. 10 LVA "ausdrücklich" nur noch Anwendung, so die Argumentation der Beschwerdeführerinnen, soweit sich die darin genannten Verhaltensweisen nur auf den Handel innerhalb der Schweiz auswirken könnten. Indem die Vorinstanz gestützt auf die vorliegend nicht anwendbare Bestimmung des Schweizer Kartellgesetzes - Art. 49a Abs. 1 KG - dennoch eine Sanktion ausgesprochen habe, verletze sie den Grundsatz "keine Strafe ohne Gesetz".</w:t>
      </w:r>
    </w:p>
    <w:p>
      <w:r>
        <w:rPr>
          <w:b/>
        </w:rPr>
        <w:t>E. 5.3</w:t>
      </w:r>
    </w:p>
    <w:p>
      <w:r>
        <w:t>Die Vorinstanz erwägt, das Luftverkehrsabkommen sei auszulegen. Die Frage nach dem anwendbaren Sanktionsrecht sowie der Sanktionskompetenz bleibe bei einer Auslegung nach dem Wortlaut und der Systematik offen. Die vertragszielorientierte Auslegung ergebe indes, dass die Anwendung innerstaatlicher Vorschriften den "effet utile" nicht gefährde, weshalb die Anwendung des Schweizer Kartellrechts - namentlich Art. 49a Abs. 1 KG - nicht durch das Luftverkehrsabkommen ausgeschlossen werde. Die Vorinstanz gelangt zum Schluss, dass die schweizerischen Wettbewerbsbehörden laut Art. 11 Abs. 2 LVA über die Zulässigkeit von Vereinbarungen und BGE 151 II 475 S. 484 anderen abgestimmten Verhaltensweisen gemäss den Art. 8 f. LVA entscheide. Während Art. 11 Abs. 2 LVA somit eine reine Kompetenzzuweisungsregel darstelle, lege Art. 8 LVA den materiell-rechtlichen respektive kartellrechtlichen Beurteilungsmassstab fest (vgl. E. 5.2 ff. des angefochtenen Urteils).</w:t>
      </w:r>
    </w:p>
    <w:p>
      <w:r>
        <w:rPr>
          <w:b/>
        </w:rPr>
        <w:t>E. 5.4</w:t>
      </w:r>
    </w:p>
    <w:p>
      <w:r>
        <w:t>Die WEKO gibt im Rahmen der bundesgerichtlichen Vernehmlassung zu bedenken, dass das Luftverkehrsabkommen durchaus Raum für die Anwendung des Kartellgesetzes, insbesondere seiner innerstaatlichen Sanktionsordnung und der in Art. 30 Abs. 1 KG vorgesehenen Massnahmen, belasse. Zu Recht, so die WEKO, führe die Vorinstanz aus, dass sich aber die Auslegung der in Art. 49a Abs. 1 KG festgelegten Tatbestandsmässigkeit - der Beteiligung an einer unzulässigen Abrede nach Art. 5 Abs. 3 und Abs. 4 KG in Verbindung mit Art. 4 Abs. 1 KG - an Art. 8 Abs. 1 LVA zu orientieren habe. In materieller Hinsicht könne nach dem Luftverkehrsabkommen zulässiges Verhalten nicht nach dem Kartellgesetz verboten oder nach dem Luftverkehrsabkommen verbotenes Verhalten nicht gestützt auf das Kartellgesetz gerechtfertigt werden. Es liege daher keine Spaltung des anwendbaren Rechts vor. Das Luftverkehrsabkommen als partieller Integrationsvertrag sehe zwar eine vollständige Übernahme des "acquis communautaire" vor, aber nur bezogen auf den Zeitpunkt des Vertragsabschlusses. Die danach erlassenen relevanten europäischen Regelungen seien durch einen Beschluss des Luftverkehrsausschusses zu überführen. Damit werde sichergestellt, dass beide Vertragsparteien sich über Neuerungen des Luftverkehrsabkommens einigen könnten. Mit der Übernahme der Verordnung Nr. 1/2003 in den Anhang LVA sei sichergestellt, dass auch die EU-Kommission einen Verstoss gegen das Luftverkehrsabkommen im Rahmen von Art. 11 Abs. 1 LVA sanktionieren könne.</w:t>
      </w:r>
    </w:p>
    <w:p>
      <w:r>
        <w:rPr>
          <w:b/>
        </w:rPr>
        <w:t>E. 5.5</w:t>
      </w:r>
    </w:p>
    <w:p>
      <w:r>
        <w:t>Unter den Verfahrensbeteiligten ist zu Recht unbestritten, dass die vorliegend zu beurteilenden Luftfrachttransporte in sachlicher Hinsicht den Luftverkehr betreffen und damit in den Geltungsbereich des Luftverkehrsabkommens fallen (vgl. Art. 2 LVA; zum räumlichen Geltungsbereich siehe Art. 34 LVA). Sodann erwägt die Vorinstanz zutreffend, dass die WEKO gemäss Art. 11 Abs. 2 LVA für die Untersuchung in Bezug auf (Flug-)Strecken zwischen der Schweiz und Drittländern zuständig gewesen ist (vgl. E. 4.6 des angefochtenen Urteils). Umstritten ist demgegenüber das Verhältnis des durch das Luftverkehrsabkommen übernommenen europäischen Kartellrechts zum Schweizer Kartellrecht samt der Sanktionsbestimmung von Art. 49a Abs. 1 KG . Ob die vorliegend beanstandeten BGE 151 II 475 S. 485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5.5.1</w:t>
      </w:r>
    </w:p>
    <w:p>
      <w:r>
        <w:t>Die Auslegung völkerrechtlicher Verträge richtet sich nach den Regeln des Wiener Übereinkommens vom 23. Mai 1969 über das Recht der Verträge (VRK; SR 0.111). Diese Regeln gelten auch für das Luftverkehrsabkommen, auch wenn die EU nicht Partei dieses Übereinkommens ist (vgl. BGE 146 II 150 E. 5.3.1; vgl. auch Urteil 2C_534/2019 vom 4. Februar 2020 E. 3.2.4 f., nicht publ. in: BGE 146 II 145 ).</w:t>
      </w:r>
    </w:p>
    <w:p>
      <w:r>
        <w:rPr>
          <w:b/>
        </w:rPr>
        <w:t>E. 5.5.1.1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(Bst. a), jede spätere Übung bei der Anwendung des Vertrags, aus der die Übereinstimmung der Vertragsparteien über seine Auslegung hervorgeht (Bst. b), sowie jeder in den Beziehungen zwischen den Vertragsparteien anwendbare einschlägige Völkerrechtssatz (Bst.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Bst. a VRK) oder zu einem offensichtlich sinnwidrigen oder unvernünftigen Ergebnis führt (vgl. Art. 32 Bst. b VRK).</w:t>
      </w:r>
    </w:p>
    <w:p>
      <w:r>
        <w:rPr>
          <w:b/>
        </w:rPr>
        <w:t>E. 5.5.1.2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BGE 151 II 475 S. 486 Zusammenhangs und des Ziels und Zwecks des Vertrags zu bestimmen (vgl. BGE 148 II 491 E. 5.3.2; BGE 146 II 150 E. 5.3.2; BGE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BGE 144 II 130 E. 8.2.1; BGE 143 II 136 E. 5.2.2). Ausserdem sind die Vertragsstaaten nach Treu und Glauben gehalten, jedes Verhalten und jede Auslegung zu unterlassen, mittels welcher sie ihre vertraglichen Pflichten umgehen oder den Vertrag seines Ziels und Zwecks entleeren würden (vgl. BGE 148 II 491 E. 5.3.2 i.f.; BGE 146 II 150 E. 5.3.2; BGE 142 II 161 E. 2.1.3).</w:t>
      </w:r>
    </w:p>
    <w:p>
      <w:r>
        <w:rPr>
          <w:b/>
        </w:rPr>
        <w:t>E. 5.5.2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5.5.3</w:t>
      </w:r>
    </w:p>
    <w:p>
      <w:r>
        <w:t>Aus einer systematischen Betrachtung von Art. 11 Abs. 2 LVA ergibt sich, dass die darin genannten Bestimmungen - Art. 8 LVA (Wettbewerbsabreden) und Art. 9 LVA (missbräuchliche Ausnutzung einer marktbeherrschenden Stellung) - das materielle Wettbewerbsrecht deckungsgleich mit den damals massgebenden Art. 81 BGE 151 II 475 S. 487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5.1 hiervor). Aus dem Aufbau der Normen und deren Systematik lässt sich allerdings nicht unmittelbar darauf schliessen, dass dem Landesrecht von vornherein die Anwendung zu versagen ist.</w:t>
      </w:r>
    </w:p>
    <w:p>
      <w:r>
        <w:rPr>
          <w:b/>
        </w:rPr>
        <w:t>E. 5.5.4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a.a.O., Rz. 17).</w:t>
      </w:r>
    </w:p>
    <w:p>
      <w:r>
        <w:rPr>
          <w:b/>
        </w:rPr>
        <w:t>E. 5.5.4.1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BBl 1999 6158; vgl. auch E. 4.2 i.f. hiervor). Die Betrachtung der durch das Luftverkehrsabkommen vorgenommenen Integration in den BGE 151 II 475 S. 488 europäischen Rechtsraum bloss aus der Perspektive der Schweiz - d. h. nur aus der Sicht einer Vertragspartei - greift jedoch zu kurz. Vielmehr ist die zu klärende Auslegungsfrage gleichermassen aus europarechtlicher Sicht zu prüfen.</w:t>
      </w:r>
    </w:p>
    <w:p>
      <w:r>
        <w:rPr>
          <w:b/>
        </w:rPr>
        <w:t>E. 5.5.4.2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 fiel - im Gegensatz zum Luftverkehr zwischen den Mitgliedstaaten der Gemeinschaft - (noch) nicht in den Zuständigkeitsbereich der EU-Kommission, sondern in jenen der Behörden der Mitgliedstaaten (vgl. Urteile des EuGH vom 11. April 1989 C-66/86 Ahmed Saeed Flugreisen , Slg. 1989 S. 803 Randnrn. 19 ff.; vom 30. April 1986 C-209/84 und andere Ministère public gegen Asjes , Slg. 1986 S. 1425 Randnrn. 46 ff.; SCHRÖTER, in: Europäisches Wettbewerbsrecht, Schröter/Klotz/von Wendland [Hrsg.],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5.5.4.3</w:t>
      </w:r>
    </w:p>
    <w:p>
      <w:r>
        <w:t>Das Verhältnis der einzelnen Mitgliedstaaten zu Drittländern war namentlich Gegenstand des damals geltenden Art. 88 des Vertrags vom 25. März 1957 zur Gründung der Europäischen Wirtschaftsgemeinschaft.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BGE 151 II 475 S. 489 Mitgliedstaaten und Drittländern beurteilten (Urteil Ministère public gegen Asjes , Randnrn. 53 f.; zur weiterhin möglichen Anwendung des einzelstaatlichen Wettbewerbsrechts nach Inkrafttreten der Verordnung Nr. 1/2003 siehePUFFER-MARIETTE, in: Europäisches Wettbewerbsrecht, Schröter/Klotz/von Wendland [Hrsg.], 3. Aufl. 2024, S. 1061 ff.).</w:t>
      </w:r>
    </w:p>
    <w:p>
      <w:r>
        <w:rPr>
          <w:b/>
        </w:rPr>
        <w:t>E. 5.5.4.4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5.6</w:t>
      </w:r>
    </w:p>
    <w:p>
      <w:r>
        <w:t>Die Auslegung von Art. 11 Abs. 2 LVA ergibt somit, dass die Bestimmung im Sinne einer Kollisionsnorm das anwendbare Recht - d. h. die verbotenen Verhaltensweisen nach Art. 8 f. LVA als materiell-rechtlichen Beurteilungsmassstab - bezeichnet sowie die Zuständigkeit der schweizerischen Behörden in Bezug auf die Strecken zwischen der Schweiz und Drittländern verankert. Entgegen der Auffassung der Beschwerdeführerinnen schliesst die Norm allerdings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5.5.1.2 i.f. hiervor). Folglich belässt das Luftverkehrsabkommen Raum für die Anwendung von schweizerischem Recht - namentlich des Kartellgesetzes und von Art. 49a Abs. 1 KG . BGE 151 II 475 S. 490</w:t>
      </w:r>
    </w:p>
    <w:p>
      <w:r>
        <w:rPr>
          <w:b/>
        </w:rPr>
        <w:t>E. 5.7</w:t>
      </w:r>
    </w:p>
    <w:p>
      <w:r>
        <w:t>Soweit die Beschwerdeführerinnen durch die Anwendung von Art. 49a KG eine Verletzung des Grundsatzes "keine Strafe ohne Gesetz" im Sinne von Art. 7 EMRK sehen, da Art. 49a Abs. 1 KG nur für unzulässige Abreden nach Art. 5 Abs. 3 und Abs. 4 KG eine Belastung vorsehe, nicht aber für mit Art. 8 Abs. 1 LVA unvereinbares und verbotenes Verhalten, ist ihnen nicht zu folgen (zum strafrechtlichen bzw. strafrechtsähnlichen Charakter der Sanktionen im Sinne von Art. 49a KG und zur diesbezüglichen Anwendbarkeit der Garantien von Art. 6 EMRK und Art. 7 EMRK siehe BGE 143 II 297 E. 9.1; BGE 139 I 72 E. 2.2.2; vgl. auch E. 12.2 hiernach). Die vorliegend relevanten, verbotenen Verhaltensweisen gemäss Art. 8 Abs. 1 Bst. a LVA sind mit Art. 4 Abs. 1 KG i.V.m. Art. 5 Abs. 1 und Abs. 3 lit. a KG inhaltlich deckungsgleich. Insofern hat eine allfällige Sanktionierung eine hinreichende gesetzliche Grundlage im Sinne von Art. 7 EMRK und Art. 164 Abs. 1 lit. c BV , ohne dass eine ausdrückliche Nennung von Art. 8 f. LVA in Art. 49a Abs. 1 KG erforderlich wäre. (...) 12. Die Beschwerdeführerinnen rügen eine Verletzung des Beschleunigungsgebots gemäss Art. 29 Abs. 1 BV und Art. 6 Ziff. 1 EMRK . 12.1 Die Beschwerdeführerinnen machen geltend, die Vorinstanz habe eine Verletzung des Beschleunigungsgebots geprüft und im Ergebnis verneint. Inzwischen sei auch die Dauer des Beschwerdeverfahrens beim Bundesverwaltungsgericht zu berücksichtigen und hinzuzurechnen. Seit der Eröffnung der Untersuchung am 13. Februar 2006 bis zur Fällung des angefochtenen Urteils am 16. November 2022 seien fast 17 Jahre verstrichen. Dabei habe das bundesverwaltungsgerichtliche Beschwerdeverfahren länger gedauert als das Untersuchungsverfahren der WEKO. Die Verfahrensdauer sei unzumutbar und die Sanktion entsprechend zu reduzieren. 12.2 Als Minimalanforderung an ein rechtsstaatliches Verfahren gewährleisten Art. 29 Abs. 1 BV sowie Art. 6 Ziff. 1 EMRK den Erlass eines Entscheids innerhalb einer angemessenen Frist (zur Anwendbarkeit von Art. 6 Ziff. 1 EMRK in der vorliegenden Angelegenheit siehe E. 5.7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BGE 151 II 475 S. 491 einer Angelegenheit wie Umfang und Bedeutung des Verfahrens, das Verhalten der betroffenen Privaten und der Behörden, die Bedeutung für die Betroffenen sowie die für die Sache spezifischen Entscheidungsabläufe zu beurteilen (vgl. BGE 144 II 486 E. 3.2; BGE 135 I 265 E. 4.4; BGE 130 I 312 E. 5.1). Für die rechtssuchende Person ist es unerheblich, auf welche Gründe eine übermässige Verfahrensdauer zurückzuführen ist. Mangelnde Organisation oder Überlastung bewahren nicht vor dem Vorwurf der Rechtsverzögerung (vgl. BGE 144 II 486 E. 3.2;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BGE 125 V 188 E. 2a). 12.3 Am 13. Februar 2006 hat das Sekretariat eine Untersuchung zu Abreden über Zuschläge im Bereich Luftfracht (Untersuchung 81.21- 0014)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14.2.2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bzw.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5.1-5.4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 BGE 151 II 475 S. 492 12.4 Anders verhält es sich mit Blick auf das über acht Jahre dauernde vorinstanzliche Beschwerdeverfahren. 12.4.1 Gegen die Verfügung der WEKO vom 2. Dezember 2013 reichten die Beschwerdeführerinnen am 12. Februar 2014 Beschwerde bei der Vorinstanz ein. Wie sich aus dem angefochtenen Urteil ergibt, war der vorinstanzliche Schriftenwechsel mit der Einreichung der Duplik am 2. Oktober 2014 abgeschlossen (vgl. Bst. E des angefochtenen Urteils). Rund 4.5 Jahre später erkundigte sich die Vorinstanz mit Zwischenverfügung vom 14. Mai 2019, ob die Beschwerdeführerinnen an ihrem Antrag um Durchführung einer mündlichen Hauptverhandlung festhielten, woraufhin die Beschwerdeführerinnen am 14. Juni 2019 ihren Verzicht erklärten (vgl. Bst. F und Bst. G des angefochtenen Urteils). Daraufhin dauerte es wiederum 3.5 Jahre bis die Vorinstanz das Urteil vom 16. November 2022 fällte (vgl. Bst. B.b f. hiervor). Es ist demnach festzuhalten, dass die Vorinstanz während über acht Jahren (2. Oktober 2014 bis 16. November 2022) keine erkennbaren (wesentlichen) Verfahrenshandlungen vornahm. Die Vorinstanz verzichtet im Rahmen des bundesgerichtlichen Verfahrens auf eine Vernehmlassung und äussert sich nicht zur Verfahrensdauer. Demgegenüber hält sie bereits im Rahmen des angefochtenen Urteils den Beschwerdeführerinnen entgegen, diese hätten sie nicht zu einer raschen Behandlung der Angelegenheit aufgefordert oder eine Rechtsverweigerung geltend gemacht. Das passive Verhalten der Beschwerdeführerinnen stehe somit einem Erlass oder einer Reduktion der Sanktion entgegen (vgl. E. 14.2.2 S. 134 des angefochtenen Urteils). 12.4.2 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 WEKO nicht kritisiert, sondern lediglich die Dauer des Beschwerdeverfahrens beanstandet hat ("Se plaignant uniquement de la durée de la procédure devant le Tribunal administratif fédéral, [...]"). Demgegenüber haben vorliegend diverse Untersuchungsadressaten bereits in den zeitgleich eingereichten Beschwerden gegen die Verfügung der WEKO vom 2. Dezember 2013 eine Verletzung des BGE 151 II 475 S. 493 Beschleunigungsgebots ausdrücklich gerügt und bei der Vorinstanz geltend gemacht, dass die Untersuchungsdauer von rund acht Jahren unzulässig lange gewesen sei (vgl. Urteile des BVGer B-710/ 2014 vom 16. November 2022 E. 15.2.2; B-761/2014 vom 16. November 2022 E. 13.2.2; B-786/2014 vom 16. November 2022 E. 14.2.2; B-787/2014 vom 16. November 2022 E. 14.2.2). Ausserdem haben sich die Beschwerdeführerinnen am 12. November 2015 (act. 21), am 14. Februar 2020 (act. 31) sowie am 25. August 2020 (act. 32) bei der Vorinstanz nach dem Verfahrensstand erkundigt. Vor diesem Hintergrund ist die vorinstanzliche Auffassung, wonach die Beschwerdeführerinnen nicht um eine rasche Behandlung der Angelegenheit ersucht hätten und sie die Vorinstanz ausdrücklich darauf hätten hinweisen müssen, die Verfahrensdauer unter acht Jahren zu halten, nicht nur unzutreffend, sondern auch sachfremd. 12.4.3 Im Übrigen ist den Beschwerdeführerinnen nicht vorzuwerfen, dass sie durch ihr eigenes Verhalten zu einer aufwändigen und äusserst zeitintensiven Bearbeitung beitrugen (vgl. Urteil 2C_596/ 2019 vom 2. November 2022 E. 11.3 i.f.). Auch der Hinweis der Vorinstanz, die WEKO habe sich in Sachverhaltsschilderungen verloren, bei denen die fraglichen Geschehnisse vor dem für die Sanktionierung massgeblichen Zeitraum liege,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5.1 und 5.5.3 i.f. hiervor). Eine solche Unzulässigkeitsfeststellung wäre namentlich zur Diskussion gestanden, wenn sie nicht auf die Sanktionsbestimmung von Art. 49a Abs. 1 KG hätte zurückgreifen dürfen (vgl. auch Urteil 2C_62/2023 vom 24. Juli 2024 E. 3.6). 12.5 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BGE 151 II 475 S. 494 Kürzung der Sanktion im Umfang von 25 % (2/8) vorzunehmen. Der von der Vorinstanz korrekt errechnete Sanktionsbetrag von Fr. 1'509'233.- ist somit auf Fr. 1'131'925.-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